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3800"/>
        <w:gridCol w:w="6666"/>
      </w:tblGrid>
      <w:tr>
        <w:trPr>
          <w:cantSplit/>
        </w:trPr>
        <w:tc>
          <w:tcPr>
            <w:tcW w:type="dxa" w:w="3800"/>
            <w:tcBorders>
              <w:top w:val="none" w:color="FFFFFF" w:sz="0"/>
              <w:left w:val="none" w:color="FFFFFF" w:sz="0"/>
              <w:bottom w:val="none" w:color="FFFFFF" w:sz="0"/>
              <w:right w:val="none" w:color="FFFFFF" w:sz="0"/>
            </w:tcBorders>
            <w:shd w:fill="595959" w:val="clear"/>
            <w:tcMar>
              <w:top w:type="dxa" w:w="200"/>
              <w:left w:type="dxa" w:w="300"/>
              <w:bottom w:type="dxa" w:w="400"/>
              <w:right w:type="dxa" w:w="300"/>
            </w:tcMar>
            <w:vAlign w:val="top"/>
          </w:tcPr>
          <w:p>
            <w:pPr>
              <w:spacing w:after="0" w:before="200"/>
            </w:pPr>
            <w:r>
              <w:rPr>
                <w:sz w:val="2"/>
                <w:szCs w:val="2"/>
              </w:rPr>
              <w:t xml:space="preserve"/>
            </w:r>
          </w:p>
          <w:p>
            <w:pPr>
              <w:spacing w:after="0" w:before="0"/>
              <w:jc w:val="center"/>
            </w:pPr>
            <w:r>
              <w:rPr>
                <w:rFonts w:ascii="Calibri" w:cs="Calibri" w:eastAsia="Calibri" w:hAnsi="Calibri"/>
                <w:b/>
                <w:bCs/>
                <w:color w:val="FFFFFF"/>
                <w:spacing w:val="30"/>
                <w:sz w:val="56"/>
                <w:szCs w:val="56"/>
              </w:rPr>
              <w:t xml:space="preserve">ARCHIE</w:t>
            </w:r>
          </w:p>
          <w:p>
            <w:pPr>
              <w:spacing w:after="200" w:before="0"/>
              <w:jc w:val="center"/>
            </w:pPr>
            <w:r>
              <w:rPr>
                <w:rFonts w:ascii="Calibri" w:cs="Calibri" w:eastAsia="Calibri" w:hAnsi="Calibri"/>
                <w:b/>
                <w:bCs/>
                <w:color w:val="FFFFFF"/>
                <w:spacing w:val="30"/>
                <w:sz w:val="56"/>
                <w:szCs w:val="56"/>
              </w:rPr>
              <w:t xml:space="preserve">COOK</w:t>
            </w:r>
          </w:p>
          <w:p>
            <w:pPr>
              <w:pBdr>
                <w:bottom w:val="single" w:color="2E7D8F" w:sz="8" w:space="4"/>
              </w:pBdr>
              <w:spacing w:after="80" w:before="240"/>
              <w:jc w:val="center"/>
            </w:pPr>
            <w:r>
              <w:rPr>
                <w:rFonts w:ascii="Calibri" w:cs="Calibri" w:eastAsia="Calibri" w:hAnsi="Calibri"/>
                <w:b/>
                <w:bCs/>
                <w:color w:val="FFFFFF"/>
                <w:sz w:val="22"/>
                <w:szCs w:val="22"/>
              </w:rPr>
              <w:t xml:space="preserve">P R O F I L E</w:t>
            </w:r>
          </w:p>
          <w:p>
            <w:pPr>
              <w:spacing w:after="60" w:line="240"/>
              <w:jc w:val="center"/>
            </w:pPr>
            <w:r>
              <w:rPr>
                <w:rFonts w:ascii="Calibri" w:cs="Calibri" w:eastAsia="Calibri" w:hAnsi="Calibri"/>
                <w:color w:val="FFFFFF"/>
                <w:sz w:val="16"/>
                <w:szCs w:val="16"/>
              </w:rPr>
              <w:t xml:space="preserve">Cyber Security graduate with a hands-on, security-first mindset. Director of AJWC Tech Consulting Ltd, delivering web development and Oracle Fusion training content for clients.</w:t>
            </w:r>
          </w:p>
          <w:p>
            <w:pPr>
              <w:spacing w:after="60" w:line="240"/>
              <w:jc w:val="center"/>
            </w:pPr>
            <w:r>
              <w:rPr>
                <w:rFonts w:ascii="Calibri" w:cs="Calibri" w:eastAsia="Calibri" w:hAnsi="Calibri"/>
                <w:color w:val="FFFFFF"/>
                <w:sz w:val="16"/>
                <w:szCs w:val="16"/>
              </w:rPr>
              <w:t xml:space="preserve">Working towards OSCP certification through HackTheBox, TryHackMe and Immersive Labs. Combines technical skills with strong customer-facing experience handling sensitive data.</w:t>
            </w:r>
          </w:p>
          <w:p>
            <w:pPr>
              <w:spacing w:after="100" w:line="240"/>
              <w:jc w:val="center"/>
            </w:pPr>
            <w:r>
              <w:rPr>
                <w:rFonts w:ascii="Calibri" w:cs="Calibri" w:eastAsia="Calibri" w:hAnsi="Calibri"/>
                <w:color w:val="FFFFFF"/>
                <w:sz w:val="16"/>
                <w:szCs w:val="16"/>
              </w:rPr>
              <w:t xml:space="preserve">Seeking a career in ethical hacking and offensive security.</w:t>
            </w:r>
          </w:p>
          <w:p>
            <w:pPr>
              <w:pBdr>
                <w:bottom w:val="single" w:color="2E7D8F" w:sz="8" w:space="4"/>
              </w:pBdr>
              <w:spacing w:after="80" w:before="240"/>
              <w:jc w:val="center"/>
            </w:pPr>
            <w:r>
              <w:rPr>
                <w:rFonts w:ascii="Calibri" w:cs="Calibri" w:eastAsia="Calibri" w:hAnsi="Calibri"/>
                <w:b/>
                <w:bCs/>
                <w:color w:val="FFFFFF"/>
                <w:sz w:val="22"/>
                <w:szCs w:val="22"/>
              </w:rPr>
              <w:t xml:space="preserve">C O N T A C T</w:t>
            </w:r>
          </w:p>
          <w:p>
            <w:pPr>
              <w:spacing w:after="60" w:line="240"/>
              <w:jc w:val="center"/>
            </w:pPr>
            <w:r>
              <w:rPr>
                <w:rFonts w:ascii="Calibri" w:cs="Calibri" w:eastAsia="Calibri" w:hAnsi="Calibri"/>
                <w:color w:val="FFFFFF"/>
                <w:sz w:val="16"/>
                <w:szCs w:val="16"/>
              </w:rPr>
              <w:t xml:space="preserve">+44 7712 334722</w:t>
            </w:r>
          </w:p>
          <w:p>
            <w:pPr>
              <w:spacing w:after="60" w:line="240"/>
              <w:jc w:val="center"/>
            </w:pPr>
            <w:r>
              <w:rPr>
                <w:rFonts w:ascii="Calibri" w:cs="Calibri" w:eastAsia="Calibri" w:hAnsi="Calibri"/>
                <w:color w:val="FFFFFF"/>
                <w:sz w:val="16"/>
                <w:szCs w:val="16"/>
              </w:rPr>
              <w:t xml:space="preserve">archiecook7878@gmail.com</w:t>
            </w:r>
          </w:p>
          <w:p>
            <w:pPr>
              <w:spacing w:after="60" w:line="240"/>
              <w:jc w:val="center"/>
            </w:pPr>
            <w:r>
              <w:rPr>
                <w:rFonts w:ascii="Calibri" w:cs="Calibri" w:eastAsia="Calibri" w:hAnsi="Calibri"/>
                <w:color w:val="FFFFFF"/>
                <w:sz w:val="16"/>
                <w:szCs w:val="16"/>
              </w:rPr>
              <w:t xml:space="preserve">3 The Row, Stanton St. Bernard</w:t>
            </w:r>
          </w:p>
          <w:p>
            <w:pPr>
              <w:spacing w:after="60" w:line="240"/>
              <w:jc w:val="center"/>
            </w:pPr>
            <w:r>
              <w:rPr>
                <w:rFonts w:ascii="Calibri" w:cs="Calibri" w:eastAsia="Calibri" w:hAnsi="Calibri"/>
                <w:color w:val="FFFFFF"/>
                <w:sz w:val="16"/>
                <w:szCs w:val="16"/>
              </w:rPr>
              <w:t xml:space="preserve">SN8 4LR</w:t>
            </w:r>
          </w:p>
          <w:p>
            <w:pPr>
              <w:spacing w:after="40" w:line="240"/>
              <w:jc w:val="center"/>
            </w:pPr>
            <w:hyperlink w:history="1" r:id="rIduiycvzujdmi94itwcdoib">
              <w:r>
                <w:rPr>
                  <w:rFonts w:ascii="Calibri" w:cs="Calibri" w:eastAsia="Calibri" w:hAnsi="Calibri"/>
                  <w:color w:val="BBDDEE"/>
                  <w:sz w:val="16"/>
                  <w:szCs w:val="16"/>
                  <w:u w:val="single"/>
                </w:rPr>
                <w:t xml:space="preserve">ajwctechconsulting.com</w:t>
              </w:r>
            </w:hyperlink>
          </w:p>
          <w:p>
            <w:pPr>
              <w:pBdr>
                <w:bottom w:val="single" w:color="2E7D8F" w:sz="8" w:space="4"/>
              </w:pBdr>
              <w:spacing w:after="80" w:before="240"/>
              <w:jc w:val="center"/>
            </w:pPr>
            <w:r>
              <w:rPr>
                <w:rFonts w:ascii="Calibri" w:cs="Calibri" w:eastAsia="Calibri" w:hAnsi="Calibri"/>
                <w:b/>
                <w:bCs/>
                <w:color w:val="FFFFFF"/>
                <w:sz w:val="22"/>
                <w:szCs w:val="22"/>
              </w:rPr>
              <w:t xml:space="preserve">S K I L L S</w:t>
            </w:r>
          </w:p>
          <w:p>
            <w:pPr>
              <w:spacing w:after="30" w:before="100"/>
              <w:jc w:val="center"/>
            </w:pPr>
            <w:r>
              <w:rPr>
                <w:rFonts w:ascii="Calibri" w:cs="Calibri" w:eastAsia="Calibri" w:hAnsi="Calibri"/>
                <w:b/>
                <w:bCs/>
                <w:color w:val="FFFFFF"/>
                <w:sz w:val="16"/>
                <w:szCs w:val="16"/>
              </w:rPr>
              <w:t xml:space="preserve">Penetration Testing</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1800"/>
              <w:gridCol w:w="600"/>
            </w:tblGrid>
            <w:tr>
              <w:trPr>
                <w:trHeight w:val="120" w:hRule="exact"/>
              </w:trPr>
              <w:tc>
                <w:tcPr>
                  <w:tcW w:type="dxa" w:w="180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60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spacing w:after="30" w:before="100"/>
              <w:jc w:val="center"/>
            </w:pPr>
            <w:r>
              <w:rPr>
                <w:rFonts w:ascii="Calibri" w:cs="Calibri" w:eastAsia="Calibri" w:hAnsi="Calibri"/>
                <w:b/>
                <w:bCs/>
                <w:color w:val="FFFFFF"/>
                <w:sz w:val="16"/>
                <w:szCs w:val="16"/>
              </w:rPr>
              <w:t xml:space="preserve">Web Development</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2160"/>
              <w:gridCol w:w="240"/>
            </w:tblGrid>
            <w:tr>
              <w:trPr>
                <w:trHeight w:val="120" w:hRule="exact"/>
              </w:trPr>
              <w:tc>
                <w:tcPr>
                  <w:tcW w:type="dxa" w:w="216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24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spacing w:after="30" w:before="100"/>
              <w:jc w:val="center"/>
            </w:pPr>
            <w:r>
              <w:rPr>
                <w:rFonts w:ascii="Calibri" w:cs="Calibri" w:eastAsia="Calibri" w:hAnsi="Calibri"/>
                <w:b/>
                <w:bCs/>
                <w:color w:val="FFFFFF"/>
                <w:sz w:val="16"/>
                <w:szCs w:val="16"/>
              </w:rPr>
              <w:t xml:space="preserve">Computer Forensics</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1800"/>
              <w:gridCol w:w="600"/>
            </w:tblGrid>
            <w:tr>
              <w:trPr>
                <w:trHeight w:val="120" w:hRule="exact"/>
              </w:trPr>
              <w:tc>
                <w:tcPr>
                  <w:tcW w:type="dxa" w:w="180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60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spacing w:after="30" w:before="100"/>
              <w:jc w:val="center"/>
            </w:pPr>
            <w:r>
              <w:rPr>
                <w:rFonts w:ascii="Calibri" w:cs="Calibri" w:eastAsia="Calibri" w:hAnsi="Calibri"/>
                <w:b/>
                <w:bCs/>
                <w:color w:val="FFFFFF"/>
                <w:sz w:val="16"/>
                <w:szCs w:val="16"/>
              </w:rPr>
              <w:t xml:space="preserve">Project Management</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1920"/>
              <w:gridCol w:w="480"/>
            </w:tblGrid>
            <w:tr>
              <w:trPr>
                <w:trHeight w:val="120" w:hRule="exact"/>
              </w:trPr>
              <w:tc>
                <w:tcPr>
                  <w:tcW w:type="dxa" w:w="192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48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spacing w:after="30" w:before="100"/>
              <w:jc w:val="center"/>
            </w:pPr>
            <w:r>
              <w:rPr>
                <w:rFonts w:ascii="Calibri" w:cs="Calibri" w:eastAsia="Calibri" w:hAnsi="Calibri"/>
                <w:b/>
                <w:bCs/>
                <w:color w:val="FFFFFF"/>
                <w:sz w:val="16"/>
                <w:szCs w:val="16"/>
              </w:rPr>
              <w:t xml:space="preserve">Communication</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2160"/>
              <w:gridCol w:w="240"/>
            </w:tblGrid>
            <w:tr>
              <w:trPr>
                <w:trHeight w:val="120" w:hRule="exact"/>
              </w:trPr>
              <w:tc>
                <w:tcPr>
                  <w:tcW w:type="dxa" w:w="216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24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spacing w:after="30" w:before="100"/>
              <w:jc w:val="center"/>
            </w:pPr>
            <w:r>
              <w:rPr>
                <w:rFonts w:ascii="Calibri" w:cs="Calibri" w:eastAsia="Calibri" w:hAnsi="Calibri"/>
                <w:b/>
                <w:bCs/>
                <w:color w:val="FFFFFF"/>
                <w:sz w:val="16"/>
                <w:szCs w:val="16"/>
              </w:rPr>
              <w:t xml:space="preserve">Graphic Design</w:t>
            </w:r>
          </w:p>
          <w:tbl>
            <w:tblPr>
              <w:tblW w:type="dxa" w:w="2400"/>
              <w:jc w:val="center"/>
              <w:tblBorders>
                <w:top w:val="single" w:color="auto" w:sz="4"/>
                <w:left w:val="single" w:color="auto" w:sz="4"/>
                <w:bottom w:val="single" w:color="auto" w:sz="4"/>
                <w:right w:val="single" w:color="auto" w:sz="4"/>
                <w:insideH w:val="single" w:color="auto" w:sz="4"/>
                <w:insideV w:val="single" w:color="auto" w:sz="4"/>
              </w:tblBorders>
            </w:tblPr>
            <w:tblGrid>
              <w:gridCol w:w="1680"/>
              <w:gridCol w:w="720"/>
            </w:tblGrid>
            <w:tr>
              <w:trPr>
                <w:trHeight w:val="120" w:hRule="exact"/>
              </w:trPr>
              <w:tc>
                <w:tcPr>
                  <w:tcW w:type="dxa" w:w="1680"/>
                  <w:tcBorders>
                    <w:top w:val="none" w:color="FFFFFF" w:sz="0"/>
                    <w:left w:val="none" w:color="FFFFFF" w:sz="0"/>
                    <w:bottom w:val="none" w:color="FFFFFF" w:sz="0"/>
                    <w:right w:val="none" w:color="FFFFFF" w:sz="0"/>
                  </w:tcBorders>
                  <w:shd w:fill="2E7D8F" w:val="clear"/>
                  <w:tcMar>
                    <w:top w:type="dxa" w:w="0"/>
                    <w:left w:type="dxa" w:w="0"/>
                    <w:bottom w:type="dxa" w:w="0"/>
                    <w:right w:type="dxa" w:w="0"/>
                  </w:tcMar>
                </w:tcPr>
                <w:p>
                  <w:r>
                    <w:rPr>
                      <w:sz w:val="2"/>
                      <w:szCs w:val="2"/>
                    </w:rPr>
                    <w:t xml:space="preserve"/>
                  </w:r>
                </w:p>
              </w:tc>
              <w:tc>
                <w:tcPr>
                  <w:tcW w:type="dxa" w:w="720"/>
                  <w:tcBorders>
                    <w:top w:val="none" w:color="FFFFFF" w:sz="0"/>
                    <w:left w:val="none" w:color="FFFFFF" w:sz="0"/>
                    <w:bottom w:val="none" w:color="FFFFFF" w:sz="0"/>
                    <w:right w:val="none" w:color="FFFFFF" w:sz="0"/>
                  </w:tcBorders>
                  <w:shd w:fill="808080" w:val="clear"/>
                  <w:tcMar>
                    <w:top w:type="dxa" w:w="0"/>
                    <w:left w:type="dxa" w:w="0"/>
                    <w:bottom w:type="dxa" w:w="0"/>
                    <w:right w:type="dxa" w:w="0"/>
                  </w:tcMar>
                </w:tcPr>
                <w:p>
                  <w:r>
                    <w:rPr>
                      <w:sz w:val="2"/>
                      <w:szCs w:val="2"/>
                    </w:rPr>
                    <w:t xml:space="preserve"/>
                  </w:r>
                </w:p>
              </w:tc>
            </w:tr>
          </w:tbl>
          <w:p>
            <w:pPr>
              <w:pBdr>
                <w:bottom w:val="single" w:color="2E7D8F" w:sz="8" w:space="4"/>
              </w:pBdr>
              <w:spacing w:after="80" w:before="240"/>
              <w:jc w:val="center"/>
            </w:pPr>
            <w:r>
              <w:rPr>
                <w:rFonts w:ascii="Calibri" w:cs="Calibri" w:eastAsia="Calibri" w:hAnsi="Calibri"/>
                <w:b/>
                <w:bCs/>
                <w:color w:val="FFFFFF"/>
                <w:sz w:val="22"/>
                <w:szCs w:val="22"/>
              </w:rPr>
              <w:t xml:space="preserve">E D U C A T I O N</w:t>
            </w:r>
          </w:p>
          <w:p>
            <w:pPr>
              <w:spacing w:after="20" w:line="240"/>
              <w:jc w:val="center"/>
            </w:pPr>
            <w:r>
              <w:rPr>
                <w:rFonts w:ascii="Calibri" w:cs="Calibri" w:eastAsia="Calibri" w:hAnsi="Calibri"/>
                <w:b/>
                <w:bCs/>
                <w:color w:val="FFFFFF"/>
                <w:sz w:val="16"/>
                <w:szCs w:val="16"/>
              </w:rPr>
              <w:t xml:space="preserve">BSc (Hons) Cyber Security</w:t>
            </w:r>
          </w:p>
          <w:p>
            <w:pPr>
              <w:spacing w:after="20" w:line="240"/>
              <w:jc w:val="center"/>
            </w:pPr>
            <w:r>
              <w:rPr>
                <w:rFonts w:ascii="Calibri" w:cs="Calibri" w:eastAsia="Calibri" w:hAnsi="Calibri"/>
                <w:color w:val="FFFFFF"/>
                <w:sz w:val="16"/>
                <w:szCs w:val="16"/>
              </w:rPr>
              <w:t xml:space="preserve">Bath Spa University  |  2:2</w:t>
            </w:r>
          </w:p>
          <w:p>
            <w:pPr>
              <w:spacing w:after="100" w:line="240"/>
              <w:jc w:val="center"/>
            </w:pPr>
            <w:r>
              <w:rPr>
                <w:rFonts w:ascii="Calibri" w:cs="Calibri" w:eastAsia="Calibri" w:hAnsi="Calibri"/>
                <w:i/>
                <w:iCs/>
                <w:color w:val="FFFFFF"/>
                <w:sz w:val="16"/>
                <w:szCs w:val="16"/>
              </w:rPr>
              <w:t xml:space="preserve">Sep 2021 – Jun 2025</w:t>
            </w:r>
          </w:p>
          <w:p>
            <w:pPr>
              <w:spacing w:after="20" w:line="240"/>
              <w:jc w:val="center"/>
            </w:pPr>
            <w:r>
              <w:rPr>
                <w:rFonts w:ascii="Calibri" w:cs="Calibri" w:eastAsia="Calibri" w:hAnsi="Calibri"/>
                <w:b/>
                <w:bCs/>
                <w:color w:val="FFFFFF"/>
                <w:sz w:val="16"/>
                <w:szCs w:val="16"/>
              </w:rPr>
              <w:t xml:space="preserve">BTEC L3 Ext. Diploma in Computing</w:t>
            </w:r>
          </w:p>
          <w:p>
            <w:pPr>
              <w:spacing w:after="20" w:line="240"/>
              <w:jc w:val="center"/>
            </w:pPr>
            <w:r>
              <w:rPr>
                <w:rFonts w:ascii="Calibri" w:cs="Calibri" w:eastAsia="Calibri" w:hAnsi="Calibri"/>
                <w:color w:val="FFFFFF"/>
                <w:sz w:val="16"/>
                <w:szCs w:val="16"/>
              </w:rPr>
              <w:t xml:space="preserve">New College, Swindon  |  MPP</w:t>
            </w:r>
          </w:p>
          <w:p>
            <w:pPr>
              <w:spacing w:after="100" w:line="240"/>
              <w:jc w:val="center"/>
            </w:pPr>
            <w:r>
              <w:rPr>
                <w:rFonts w:ascii="Calibri" w:cs="Calibri" w:eastAsia="Calibri" w:hAnsi="Calibri"/>
                <w:i/>
                <w:iCs/>
                <w:color w:val="FFFFFF"/>
                <w:sz w:val="16"/>
                <w:szCs w:val="16"/>
              </w:rPr>
              <w:t xml:space="preserve">Sep 2018 – Jun 2020</w:t>
            </w:r>
          </w:p>
          <w:p>
            <w:pPr>
              <w:spacing w:after="20" w:line="240"/>
              <w:jc w:val="center"/>
            </w:pPr>
            <w:r>
              <w:rPr>
                <w:rFonts w:ascii="Calibri" w:cs="Calibri" w:eastAsia="Calibri" w:hAnsi="Calibri"/>
                <w:b/>
                <w:bCs/>
                <w:color w:val="FFFFFF"/>
                <w:sz w:val="16"/>
                <w:szCs w:val="16"/>
              </w:rPr>
              <w:t xml:space="preserve">GCSEs — St John's School</w:t>
            </w:r>
          </w:p>
          <w:p>
            <w:pPr>
              <w:spacing w:after="80" w:line="240"/>
              <w:jc w:val="center"/>
            </w:pPr>
            <w:r>
              <w:rPr>
                <w:rFonts w:ascii="Calibri" w:cs="Calibri" w:eastAsia="Calibri" w:hAnsi="Calibri"/>
                <w:color w:val="FFFFFF"/>
                <w:sz w:val="16"/>
                <w:szCs w:val="16"/>
              </w:rPr>
              <w:t xml:space="preserve">ICT 7, Computing 6, Maths 5, Triple Science 5/4/5, English 4/4. Pet-XI Microsoft Specialist (A).</w:t>
            </w:r>
          </w:p>
        </w:tc>
        <w:tc>
          <w:tcPr>
            <w:tcW w:type="dxa" w:w="6666"/>
            <w:tcBorders>
              <w:top w:val="none" w:color="FFFFFF" w:sz="0"/>
              <w:left w:val="none" w:color="FFFFFF" w:sz="0"/>
              <w:bottom w:val="none" w:color="FFFFFF" w:sz="0"/>
              <w:right w:val="none" w:color="FFFFFF" w:sz="0"/>
            </w:tcBorders>
            <w:tcMar>
              <w:top w:type="dxa" w:w="200"/>
              <w:left w:type="dxa" w:w="350"/>
              <w:bottom w:type="dxa" w:w="200"/>
              <w:right w:type="dxa" w:w="200"/>
            </w:tcMar>
            <w:vAlign w:val="top"/>
          </w:tcPr>
          <w:p>
            <w:pPr>
              <w:pBdr>
                <w:bottom w:val="single" w:color="2E7D8F" w:sz="6" w:space="2"/>
              </w:pBdr>
              <w:spacing w:after="40" w:before="80"/>
              <w:jc w:val="center"/>
            </w:pPr>
            <w:r>
              <w:rPr>
                <w:rFonts w:ascii="Calibri" w:cs="Calibri" w:eastAsia="Calibri" w:hAnsi="Calibri"/>
                <w:b/>
                <w:bCs/>
                <w:color w:val="2E7D8F"/>
                <w:sz w:val="22"/>
                <w:szCs w:val="22"/>
              </w:rPr>
              <w:t xml:space="preserve">E X P E R I E N C E</w:t>
            </w:r>
          </w:p>
          <w:p>
            <w:pPr>
              <w:spacing w:after="0" w:before="100"/>
              <w:jc w:val="center"/>
            </w:pPr>
            <w:r>
              <w:rPr>
                <w:rFonts w:ascii="Calibri" w:cs="Calibri" w:eastAsia="Calibri" w:hAnsi="Calibri"/>
                <w:b/>
                <w:bCs/>
                <w:color w:val="2E7D8F"/>
                <w:sz w:val="18"/>
                <w:szCs w:val="18"/>
              </w:rPr>
              <w:t xml:space="preserve">PRESENT</w:t>
            </w:r>
          </w:p>
          <w:p>
            <w:pPr>
              <w:spacing w:after="30" w:before="0"/>
              <w:jc w:val="center"/>
            </w:pPr>
            <w:r>
              <w:rPr>
                <w:rFonts w:ascii="Calibri" w:cs="Calibri" w:eastAsia="Calibri" w:hAnsi="Calibri"/>
                <w:b/>
                <w:bCs/>
                <w:color w:val="1F1F1F"/>
                <w:sz w:val="16"/>
                <w:szCs w:val="16"/>
              </w:rPr>
              <w:t xml:space="preserve">DIRECTOR &amp; FOUNDER | AJWC TECH CONSULTING LTD</w:t>
            </w:r>
          </w:p>
          <w:p>
            <w:pPr>
              <w:spacing w:after="40" w:line="220"/>
              <w:jc w:val="center"/>
            </w:pPr>
            <w:r>
              <w:rPr>
                <w:rFonts w:ascii="Calibri" w:cs="Calibri" w:eastAsia="Calibri" w:hAnsi="Calibri"/>
                <w:color w:val="1F1F1F"/>
                <w:sz w:val="14"/>
                <w:szCs w:val="14"/>
              </w:rPr>
              <w:t xml:space="preserve">Founded and direct an independent technology consultancy delivering web development, cyber security and training services. Producing Oracle Fusion training video content for an ongoing client engagement, and built the company portfolio website at ajwctechconsulting.com.</w:t>
            </w:r>
          </w:p>
          <w:p>
            <w:pPr>
              <w:spacing w:after="0" w:before="100"/>
              <w:jc w:val="center"/>
            </w:pPr>
            <w:r>
              <w:rPr>
                <w:rFonts w:ascii="Calibri" w:cs="Calibri" w:eastAsia="Calibri" w:hAnsi="Calibri"/>
                <w:b/>
                <w:bCs/>
                <w:color w:val="2E7D8F"/>
                <w:sz w:val="18"/>
                <w:szCs w:val="18"/>
              </w:rPr>
              <w:t xml:space="preserve">AUGUST 2025 – DECEMBER 2025</w:t>
            </w:r>
          </w:p>
          <w:p>
            <w:pPr>
              <w:spacing w:after="30" w:before="0"/>
              <w:jc w:val="center"/>
            </w:pPr>
            <w:r>
              <w:rPr>
                <w:rFonts w:ascii="Calibri" w:cs="Calibri" w:eastAsia="Calibri" w:hAnsi="Calibri"/>
                <w:b/>
                <w:bCs/>
                <w:color w:val="1F1F1F"/>
                <w:sz w:val="16"/>
                <w:szCs w:val="16"/>
              </w:rPr>
              <w:t xml:space="preserve">LEAD WEB DEVELOPER | SCOUTNONLEAGUE.COM</w:t>
            </w:r>
          </w:p>
          <w:p>
            <w:pPr>
              <w:spacing w:after="40" w:line="220"/>
              <w:jc w:val="center"/>
            </w:pPr>
            <w:r>
              <w:rPr>
                <w:rFonts w:ascii="Calibri" w:cs="Calibri" w:eastAsia="Calibri" w:hAnsi="Calibri"/>
                <w:color w:val="1F1F1F"/>
                <w:sz w:val="14"/>
                <w:szCs w:val="14"/>
              </w:rPr>
              <w:t xml:space="preserve">Designed, built and launched a full client website to agreed specifications, including integration of subscription and payment systems. Took ongoing responsibility for site reliability, uptime, bug-fixing and updates post-launch, and owned end-to-end cyber security for the platform — safeguarding against hacking, data breaches and malware using industry-standard practices.</w:t>
            </w:r>
          </w:p>
          <w:p>
            <w:pPr>
              <w:spacing w:after="0" w:before="100"/>
              <w:jc w:val="center"/>
            </w:pPr>
            <w:r>
              <w:rPr>
                <w:rFonts w:ascii="Calibri" w:cs="Calibri" w:eastAsia="Calibri" w:hAnsi="Calibri"/>
                <w:b/>
                <w:bCs/>
                <w:color w:val="2E7D8F"/>
                <w:sz w:val="18"/>
                <w:szCs w:val="18"/>
              </w:rPr>
              <w:t xml:space="preserve">MAY 2023 – JANUARY 2024</w:t>
            </w:r>
          </w:p>
          <w:p>
            <w:pPr>
              <w:spacing w:after="30" w:before="0"/>
              <w:jc w:val="center"/>
            </w:pPr>
            <w:r>
              <w:rPr>
                <w:rFonts w:ascii="Calibri" w:cs="Calibri" w:eastAsia="Calibri" w:hAnsi="Calibri"/>
                <w:b/>
                <w:bCs/>
                <w:color w:val="1F1F1F"/>
                <w:sz w:val="16"/>
                <w:szCs w:val="16"/>
              </w:rPr>
              <w:t xml:space="preserve">BARTENDER | THE BOTANIST, BATH</w:t>
            </w:r>
          </w:p>
          <w:p>
            <w:pPr>
              <w:spacing w:after="40" w:line="220"/>
              <w:jc w:val="center"/>
            </w:pPr>
            <w:r>
              <w:rPr>
                <w:rFonts w:ascii="Calibri" w:cs="Calibri" w:eastAsia="Calibri" w:hAnsi="Calibri"/>
                <w:color w:val="1F1F1F"/>
                <w:sz w:val="14"/>
                <w:szCs w:val="14"/>
              </w:rPr>
              <w:t xml:space="preserve">Worked in a high-volume cocktail bar delivering excellent service in a fast-paced environment. Built and served cocktails, coffees and draught drinks while managing stock rotation, keg changes and end-of-night close-down. Strengthened resilience, attention to detail and customer-facing communication under sustained pressure.</w:t>
            </w:r>
          </w:p>
          <w:p>
            <w:pPr>
              <w:spacing w:after="0" w:before="100"/>
              <w:jc w:val="center"/>
            </w:pPr>
            <w:r>
              <w:rPr>
                <w:rFonts w:ascii="Calibri" w:cs="Calibri" w:eastAsia="Calibri" w:hAnsi="Calibri"/>
                <w:b/>
                <w:bCs/>
                <w:color w:val="2E7D8F"/>
                <w:sz w:val="18"/>
                <w:szCs w:val="18"/>
              </w:rPr>
              <w:t xml:space="preserve">JULY 2022 – DECEMBER 2022</w:t>
            </w:r>
          </w:p>
          <w:p>
            <w:pPr>
              <w:spacing w:after="30" w:before="0"/>
              <w:jc w:val="center"/>
            </w:pPr>
            <w:r>
              <w:rPr>
                <w:rFonts w:ascii="Calibri" w:cs="Calibri" w:eastAsia="Calibri" w:hAnsi="Calibri"/>
                <w:b/>
                <w:bCs/>
                <w:color w:val="1F1F1F"/>
                <w:sz w:val="16"/>
                <w:szCs w:val="16"/>
              </w:rPr>
              <w:t xml:space="preserve">CUSTOMER SERVICE MANAGER | LADBROKES</w:t>
            </w:r>
          </w:p>
          <w:p>
            <w:pPr>
              <w:spacing w:after="40" w:line="220"/>
              <w:jc w:val="center"/>
            </w:pPr>
            <w:r>
              <w:rPr>
                <w:rFonts w:ascii="Calibri" w:cs="Calibri" w:eastAsia="Calibri" w:hAnsi="Calibri"/>
                <w:color w:val="1F1F1F"/>
                <w:sz w:val="14"/>
                <w:szCs w:val="14"/>
              </w:rPr>
              <w:t xml:space="preserve">Managed daily branch operations including cash handling and reconciliation of tills and gaming machines, applying strict security and compliance procedures. Served customers across betting transactions while adhering to Responsible Gambling and AML regulations, building strong skills in handling sensitive financial information.</w:t>
            </w:r>
          </w:p>
          <w:p>
            <w:pPr>
              <w:spacing w:after="0" w:before="100"/>
              <w:jc w:val="center"/>
            </w:pPr>
            <w:r>
              <w:rPr>
                <w:rFonts w:ascii="Calibri" w:cs="Calibri" w:eastAsia="Calibri" w:hAnsi="Calibri"/>
                <w:b/>
                <w:bCs/>
                <w:color w:val="2E7D8F"/>
                <w:sz w:val="18"/>
                <w:szCs w:val="18"/>
              </w:rPr>
              <w:t xml:space="preserve">OCTOBER 2020 – SEPTEMBER 2021</w:t>
            </w:r>
          </w:p>
          <w:p>
            <w:pPr>
              <w:spacing w:after="30" w:before="0"/>
              <w:jc w:val="center"/>
            </w:pPr>
            <w:r>
              <w:rPr>
                <w:rFonts w:ascii="Calibri" w:cs="Calibri" w:eastAsia="Calibri" w:hAnsi="Calibri"/>
                <w:b/>
                <w:bCs/>
                <w:color w:val="1F1F1F"/>
                <w:sz w:val="16"/>
                <w:szCs w:val="16"/>
              </w:rPr>
              <w:t xml:space="preserve">CALL AGENT — DHSC IAS &amp; NHS TEST &amp; TRACE | SITEL</w:t>
            </w:r>
          </w:p>
          <w:p>
            <w:pPr>
              <w:spacing w:after="40" w:line="220"/>
              <w:jc w:val="center"/>
            </w:pPr>
            <w:r>
              <w:rPr>
                <w:rFonts w:ascii="Calibri" w:cs="Calibri" w:eastAsia="Calibri" w:hAnsi="Calibri"/>
                <w:color w:val="1F1F1F"/>
                <w:sz w:val="14"/>
                <w:szCs w:val="14"/>
              </w:rPr>
              <w:t xml:space="preserve">Conducted up to 200 outbound calls per day across Tier 3 contact tracing, ISO Follow-Up and the International Arrivals Service. Handled confidential personal and health data in line with GDPR, escalating breaches of isolation requirements to supervisors. Contract repeatedly extended on the basis of strong call quality and reliability.</w:t>
            </w:r>
          </w:p>
          <w:p>
            <w:pPr>
              <w:spacing w:after="0" w:before="100"/>
              <w:jc w:val="center"/>
            </w:pPr>
            <w:r>
              <w:rPr>
                <w:rFonts w:ascii="Calibri" w:cs="Calibri" w:eastAsia="Calibri" w:hAnsi="Calibri"/>
                <w:b/>
                <w:bCs/>
                <w:color w:val="2E7D8F"/>
                <w:sz w:val="18"/>
                <w:szCs w:val="18"/>
              </w:rPr>
              <w:t xml:space="preserve">OCTOBER 2020 – SEPTEMBER 2021</w:t>
            </w:r>
          </w:p>
          <w:p>
            <w:pPr>
              <w:spacing w:after="30" w:before="0"/>
              <w:jc w:val="center"/>
            </w:pPr>
            <w:r>
              <w:rPr>
                <w:rFonts w:ascii="Calibri" w:cs="Calibri" w:eastAsia="Calibri" w:hAnsi="Calibri"/>
                <w:b/>
                <w:bCs/>
                <w:color w:val="1F1F1F"/>
                <w:sz w:val="16"/>
                <w:szCs w:val="16"/>
              </w:rPr>
              <w:t xml:space="preserve">WEB DEVELOPER &amp; DATA SPECIALIST | STEL TOOLS</w:t>
            </w:r>
          </w:p>
          <w:p>
            <w:pPr>
              <w:spacing w:after="40" w:line="220"/>
              <w:jc w:val="center"/>
            </w:pPr>
            <w:r>
              <w:rPr>
                <w:rFonts w:ascii="Calibri" w:cs="Calibri" w:eastAsia="Calibri" w:hAnsi="Calibri"/>
                <w:color w:val="1F1F1F"/>
                <w:sz w:val="14"/>
                <w:szCs w:val="14"/>
              </w:rPr>
              <w:t xml:space="preserve">Sub-contracted developer working on Magento (open-source e-commerce) sites using PHP, HTML5, CSS, JavaScript and MySQL. Investigated and resolved bugs, broken assets and missing data across development and production environments, and used advanced Excel skills to clean, sort and import product and catalogue data.</w:t>
            </w:r>
          </w:p>
          <w:p>
            <w:pPr>
              <w:spacing w:after="0" w:before="100"/>
              <w:jc w:val="center"/>
            </w:pPr>
            <w:r>
              <w:rPr>
                <w:rFonts w:ascii="Calibri" w:cs="Calibri" w:eastAsia="Calibri" w:hAnsi="Calibri"/>
                <w:b/>
                <w:bCs/>
                <w:color w:val="2E7D8F"/>
                <w:sz w:val="18"/>
                <w:szCs w:val="18"/>
              </w:rPr>
              <w:t xml:space="preserve">MAY 2020 – OCTOBER 2020</w:t>
            </w:r>
          </w:p>
          <w:p>
            <w:pPr>
              <w:spacing w:after="30" w:before="0"/>
              <w:jc w:val="center"/>
            </w:pPr>
            <w:r>
              <w:rPr>
                <w:rFonts w:ascii="Calibri" w:cs="Calibri" w:eastAsia="Calibri" w:hAnsi="Calibri"/>
                <w:b/>
                <w:bCs/>
                <w:color w:val="1F1F1F"/>
                <w:sz w:val="16"/>
                <w:szCs w:val="16"/>
              </w:rPr>
              <w:t xml:space="preserve">WEB DEVELOPER &amp; SOCIAL MEDIA MANAGER | POLLY'S TEA ROOMS</w:t>
            </w:r>
          </w:p>
          <w:p>
            <w:pPr>
              <w:spacing w:after="60" w:line="220"/>
              <w:jc w:val="center"/>
            </w:pPr>
            <w:r>
              <w:rPr>
                <w:rFonts w:ascii="Calibri" w:cs="Calibri" w:eastAsia="Calibri" w:hAnsi="Calibri"/>
                <w:color w:val="1F1F1F"/>
                <w:sz w:val="14"/>
                <w:szCs w:val="14"/>
              </w:rPr>
              <w:t xml:space="preserve">Redesigned and launched the company website (thepollytearooms.com) introducing modern UX concepts, and ran Instagram and Facebook marketing including monthly competitions and gift card promotions — driving a substantial uplift in new and returning customers. Role concluded due to the COVID-19 pandemic.</w:t>
            </w:r>
          </w:p>
          <w:p>
            <w:pPr>
              <w:pBdr>
                <w:bottom w:val="single" w:color="2E7D8F" w:sz="6" w:space="2"/>
              </w:pBdr>
              <w:spacing w:after="40" w:before="80"/>
              <w:jc w:val="center"/>
            </w:pPr>
            <w:r>
              <w:rPr>
                <w:rFonts w:ascii="Calibri" w:cs="Calibri" w:eastAsia="Calibri" w:hAnsi="Calibri"/>
                <w:b/>
                <w:bCs/>
                <w:color w:val="2E7D8F"/>
                <w:sz w:val="22"/>
                <w:szCs w:val="22"/>
              </w:rPr>
              <w:t xml:space="preserve">P R O F E S S I O N A L   D E V E L O P M E N T</w:t>
            </w:r>
          </w:p>
          <w:p>
            <w:pPr>
              <w:spacing w:after="40" w:line="220"/>
              <w:jc w:val="center"/>
            </w:pPr>
            <w:r>
              <w:rPr>
                <w:rFonts w:ascii="Calibri" w:cs="Calibri" w:eastAsia="Calibri" w:hAnsi="Calibri"/>
                <w:color w:val="1F1F1F"/>
                <w:sz w:val="14"/>
                <w:szCs w:val="14"/>
              </w:rPr>
              <w:t xml:space="preserve">Working towards OSCP (Offensive Security Certified Professional) certification. Active practitioner on HackTheBox and TryHackMe — regularly completing CTFs and lab environments. Completed numerous Immersive Labs in offensive and defensive security during BSc studies.</w:t>
            </w:r>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uiycvzujdmi94itwcdoib" Type="http://schemas.openxmlformats.org/officeDocument/2006/relationships/hyperlink" Target="https://www.ajwctechconsulting.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Archie Cook — CV</dc:title>
  <dc:creator>Archie Cook</dc:creator>
  <cp:lastModifiedBy>Un-named</cp:lastModifiedBy>
  <cp:revision>1</cp:revision>
  <dcterms:created xsi:type="dcterms:W3CDTF">2026-04-26T01:07:41.063Z</dcterms:created>
  <dcterms:modified xsi:type="dcterms:W3CDTF">2026-04-26T01:07:41.064Z</dcterms:modified>
</cp:coreProperties>
</file>

<file path=docProps/custom.xml><?xml version="1.0" encoding="utf-8"?>
<Properties xmlns="http://schemas.openxmlformats.org/officeDocument/2006/custom-properties" xmlns:vt="http://schemas.openxmlformats.org/officeDocument/2006/docPropsVTypes"/>
</file>